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39451" w14:textId="77777777" w:rsidR="003A744E" w:rsidRDefault="003A744E" w:rsidP="004A0625">
      <w:pPr>
        <w:spacing w:after="0"/>
        <w:rPr>
          <w:rFonts w:ascii="Calibri" w:hAnsi="Calibri" w:cs="Calibri"/>
          <w:b/>
          <w:bCs/>
        </w:rPr>
      </w:pPr>
      <w:r w:rsidRPr="00247F7B">
        <w:rPr>
          <w:rFonts w:ascii="Calibri" w:hAnsi="Calibri" w:cs="Calibri"/>
          <w:b/>
          <w:bCs/>
        </w:rPr>
        <w:t xml:space="preserve">Century Pacific </w:t>
      </w:r>
      <w:r>
        <w:rPr>
          <w:rFonts w:ascii="Calibri" w:hAnsi="Calibri" w:cs="Calibri"/>
          <w:b/>
          <w:bCs/>
        </w:rPr>
        <w:t xml:space="preserve">1Q25 </w:t>
      </w:r>
      <w:r w:rsidRPr="00247F7B">
        <w:rPr>
          <w:rFonts w:ascii="Calibri" w:hAnsi="Calibri" w:cs="Calibri"/>
          <w:b/>
          <w:bCs/>
        </w:rPr>
        <w:t xml:space="preserve">Revenues Up 10% </w:t>
      </w:r>
      <w:r>
        <w:rPr>
          <w:rFonts w:ascii="Calibri" w:hAnsi="Calibri" w:cs="Calibri"/>
          <w:b/>
          <w:bCs/>
        </w:rPr>
        <w:t>on Upbeat</w:t>
      </w:r>
      <w:r w:rsidRPr="00247F7B">
        <w:rPr>
          <w:rFonts w:ascii="Calibri" w:hAnsi="Calibri" w:cs="Calibri"/>
          <w:b/>
          <w:bCs/>
        </w:rPr>
        <w:t xml:space="preserve"> Branded </w:t>
      </w:r>
      <w:r>
        <w:rPr>
          <w:rFonts w:ascii="Calibri" w:hAnsi="Calibri" w:cs="Calibri"/>
          <w:b/>
          <w:bCs/>
        </w:rPr>
        <w:t>Performance</w:t>
      </w:r>
    </w:p>
    <w:p w14:paraId="2A4DDE57" w14:textId="77777777" w:rsidR="003A744E" w:rsidRDefault="003A744E" w:rsidP="004A0625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Net Income Improves by 11% Year-on-Year</w:t>
      </w:r>
    </w:p>
    <w:p w14:paraId="3C841C34" w14:textId="77777777" w:rsidR="000648DE" w:rsidRDefault="000648DE" w:rsidP="004A0625">
      <w:pPr>
        <w:spacing w:after="0"/>
      </w:pPr>
    </w:p>
    <w:p w14:paraId="6E56599E" w14:textId="4159AB44" w:rsidR="00391AB6" w:rsidRDefault="004E5795" w:rsidP="004A062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1Q25 u</w:t>
      </w:r>
      <w:r w:rsidR="00363C6D">
        <w:rPr>
          <w:rFonts w:ascii="Calibri" w:hAnsi="Calibri" w:cs="Calibri"/>
          <w:i/>
          <w:iCs/>
        </w:rPr>
        <w:t>naudited c</w:t>
      </w:r>
      <w:r w:rsidR="00391AB6">
        <w:rPr>
          <w:rFonts w:ascii="Calibri" w:hAnsi="Calibri" w:cs="Calibri"/>
          <w:i/>
          <w:iCs/>
        </w:rPr>
        <w:t xml:space="preserve">onsolidated revenues </w:t>
      </w:r>
      <w:r w:rsidR="00377FF6">
        <w:rPr>
          <w:rFonts w:ascii="Calibri" w:hAnsi="Calibri" w:cs="Calibri"/>
          <w:i/>
          <w:iCs/>
        </w:rPr>
        <w:t>reached</w:t>
      </w:r>
      <w:r w:rsidR="00391AB6">
        <w:rPr>
          <w:rFonts w:ascii="Calibri" w:hAnsi="Calibri" w:cs="Calibri"/>
          <w:i/>
          <w:iCs/>
        </w:rPr>
        <w:t xml:space="preserve"> </w:t>
      </w:r>
      <w:proofErr w:type="spellStart"/>
      <w:r w:rsidR="00391AB6">
        <w:rPr>
          <w:rFonts w:ascii="Calibri" w:hAnsi="Calibri" w:cs="Calibri"/>
          <w:i/>
          <w:iCs/>
        </w:rPr>
        <w:t>Php</w:t>
      </w:r>
      <w:proofErr w:type="spellEnd"/>
      <w:r w:rsidR="00391AB6">
        <w:rPr>
          <w:rFonts w:ascii="Calibri" w:hAnsi="Calibri" w:cs="Calibri"/>
          <w:i/>
          <w:iCs/>
        </w:rPr>
        <w:t xml:space="preserve"> 19.9 billion, </w:t>
      </w:r>
      <w:r w:rsidR="001155EB">
        <w:rPr>
          <w:rFonts w:ascii="Calibri" w:hAnsi="Calibri" w:cs="Calibri"/>
          <w:i/>
          <w:iCs/>
        </w:rPr>
        <w:t>mar</w:t>
      </w:r>
      <w:r w:rsidR="002F4FC9">
        <w:rPr>
          <w:rFonts w:ascii="Calibri" w:hAnsi="Calibri" w:cs="Calibri"/>
          <w:i/>
          <w:iCs/>
        </w:rPr>
        <w:t>k</w:t>
      </w:r>
      <w:r w:rsidR="001155EB">
        <w:rPr>
          <w:rFonts w:ascii="Calibri" w:hAnsi="Calibri" w:cs="Calibri"/>
          <w:i/>
          <w:iCs/>
        </w:rPr>
        <w:t>ing</w:t>
      </w:r>
      <w:r w:rsidR="00391AB6">
        <w:rPr>
          <w:rFonts w:ascii="Calibri" w:hAnsi="Calibri" w:cs="Calibri"/>
          <w:i/>
          <w:iCs/>
        </w:rPr>
        <w:t xml:space="preserve"> a 10% year-on-year</w:t>
      </w:r>
      <w:r w:rsidR="001155EB">
        <w:rPr>
          <w:rFonts w:ascii="Calibri" w:hAnsi="Calibri" w:cs="Calibri"/>
          <w:i/>
          <w:iCs/>
        </w:rPr>
        <w:t xml:space="preserve"> </w:t>
      </w:r>
      <w:r w:rsidR="00CB31EE">
        <w:rPr>
          <w:rFonts w:ascii="Calibri" w:hAnsi="Calibri" w:cs="Calibri"/>
          <w:i/>
          <w:iCs/>
        </w:rPr>
        <w:t xml:space="preserve">(YoY) </w:t>
      </w:r>
      <w:r w:rsidR="001155EB">
        <w:rPr>
          <w:rFonts w:ascii="Calibri" w:hAnsi="Calibri" w:cs="Calibri"/>
          <w:i/>
          <w:iCs/>
        </w:rPr>
        <w:t>growth</w:t>
      </w:r>
      <w:r w:rsidR="00391AB6">
        <w:rPr>
          <w:rFonts w:ascii="Calibri" w:hAnsi="Calibri" w:cs="Calibri"/>
          <w:i/>
          <w:iCs/>
        </w:rPr>
        <w:t>.</w:t>
      </w:r>
    </w:p>
    <w:p w14:paraId="01B8EFA6" w14:textId="22D42018" w:rsidR="00391AB6" w:rsidRPr="00773414" w:rsidRDefault="00007B83" w:rsidP="004A062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Sales performance was fueled by an</w:t>
      </w:r>
      <w:r w:rsidR="005F6125">
        <w:rPr>
          <w:rFonts w:ascii="Calibri" w:hAnsi="Calibri" w:cs="Calibri"/>
          <w:i/>
          <w:iCs/>
        </w:rPr>
        <w:t xml:space="preserve"> accelerating Branded segment</w:t>
      </w:r>
      <w:r>
        <w:rPr>
          <w:rFonts w:ascii="Calibri" w:hAnsi="Calibri" w:cs="Calibri"/>
          <w:i/>
          <w:iCs/>
        </w:rPr>
        <w:t>, which rose</w:t>
      </w:r>
      <w:r w:rsidR="00391AB6">
        <w:rPr>
          <w:rFonts w:ascii="Calibri" w:hAnsi="Calibri" w:cs="Calibri"/>
          <w:i/>
          <w:iCs/>
        </w:rPr>
        <w:t xml:space="preserve"> 13% versus the same period last year and 7% quarter-on-quarter</w:t>
      </w:r>
      <w:r w:rsidR="00342E4F">
        <w:rPr>
          <w:rFonts w:ascii="Calibri" w:hAnsi="Calibri" w:cs="Calibri"/>
          <w:i/>
          <w:iCs/>
        </w:rPr>
        <w:t xml:space="preserve"> (QoQ)</w:t>
      </w:r>
      <w:r w:rsidR="00F96F99">
        <w:rPr>
          <w:rFonts w:ascii="Calibri" w:hAnsi="Calibri" w:cs="Calibri"/>
          <w:i/>
          <w:iCs/>
        </w:rPr>
        <w:t xml:space="preserve"> as inflationary pressures ease</w:t>
      </w:r>
      <w:r w:rsidR="00C702F9">
        <w:rPr>
          <w:rFonts w:ascii="Calibri" w:hAnsi="Calibri" w:cs="Calibri"/>
          <w:i/>
          <w:iCs/>
        </w:rPr>
        <w:t>d</w:t>
      </w:r>
      <w:r w:rsidR="00391AB6">
        <w:rPr>
          <w:rFonts w:ascii="Calibri" w:hAnsi="Calibri" w:cs="Calibri"/>
          <w:i/>
          <w:iCs/>
        </w:rPr>
        <w:t>.</w:t>
      </w:r>
    </w:p>
    <w:p w14:paraId="2ECE607D" w14:textId="16844E17" w:rsidR="00391AB6" w:rsidRDefault="00391AB6" w:rsidP="004A062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Net Income registered at </w:t>
      </w:r>
      <w:proofErr w:type="spellStart"/>
      <w:r>
        <w:rPr>
          <w:rFonts w:ascii="Calibri" w:hAnsi="Calibri" w:cs="Calibri"/>
          <w:i/>
          <w:iCs/>
        </w:rPr>
        <w:t>Php</w:t>
      </w:r>
      <w:proofErr w:type="spellEnd"/>
      <w:r>
        <w:rPr>
          <w:rFonts w:ascii="Calibri" w:hAnsi="Calibri" w:cs="Calibri"/>
          <w:i/>
          <w:iCs/>
        </w:rPr>
        <w:t xml:space="preserve"> 1.9 billion, increasing by 11% and resulting in a modest 1</w:t>
      </w:r>
      <w:r w:rsidR="00CC56CC">
        <w:rPr>
          <w:rFonts w:ascii="Calibri" w:hAnsi="Calibri" w:cs="Calibri"/>
          <w:i/>
          <w:iCs/>
        </w:rPr>
        <w:t>0-basis point</w:t>
      </w:r>
      <w:r>
        <w:rPr>
          <w:rFonts w:ascii="Calibri" w:hAnsi="Calibri" w:cs="Calibri"/>
          <w:i/>
          <w:iCs/>
        </w:rPr>
        <w:t xml:space="preserve"> net profit margin improvement.</w:t>
      </w:r>
    </w:p>
    <w:p w14:paraId="6ED04351" w14:textId="20FBC20F" w:rsidR="004518F7" w:rsidRPr="00F96F99" w:rsidRDefault="004518F7" w:rsidP="004A062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The Company reconfirms its outlook for the year.</w:t>
      </w:r>
    </w:p>
    <w:p w14:paraId="1D04FCD8" w14:textId="77777777" w:rsidR="003A744E" w:rsidRDefault="003A744E" w:rsidP="004A0625">
      <w:pPr>
        <w:spacing w:after="0"/>
      </w:pPr>
    </w:p>
    <w:p w14:paraId="06716E36" w14:textId="422ADA1B" w:rsidR="00B5347E" w:rsidRDefault="002060B5" w:rsidP="004A0625">
      <w:pPr>
        <w:spacing w:after="0"/>
        <w:jc w:val="both"/>
        <w:rPr>
          <w:rFonts w:ascii="Calibri" w:hAnsi="Calibri" w:cs="Calibri"/>
        </w:rPr>
      </w:pPr>
      <w:r w:rsidRPr="00C702F9">
        <w:rPr>
          <w:rFonts w:ascii="Calibri" w:hAnsi="Calibri" w:cs="Calibri"/>
          <w:b/>
          <w:bCs/>
        </w:rPr>
        <w:t>Century Pacific Food, Inc. (PSE:CNPF)</w:t>
      </w:r>
      <w:r w:rsidRPr="00C702F9">
        <w:rPr>
          <w:rFonts w:ascii="Calibri" w:hAnsi="Calibri" w:cs="Calibri"/>
        </w:rPr>
        <w:t>, one of the Philippines’ leading food companies,</w:t>
      </w:r>
      <w:r w:rsidR="00E51590">
        <w:rPr>
          <w:rFonts w:ascii="Calibri" w:hAnsi="Calibri" w:cs="Calibri"/>
        </w:rPr>
        <w:t xml:space="preserve"> </w:t>
      </w:r>
      <w:r w:rsidR="00CB31EE">
        <w:rPr>
          <w:rFonts w:ascii="Calibri" w:hAnsi="Calibri" w:cs="Calibri"/>
        </w:rPr>
        <w:t>released its unaudited financial report for the first quarter of 2025. The Company</w:t>
      </w:r>
      <w:r w:rsidR="0080708A">
        <w:rPr>
          <w:rFonts w:ascii="Calibri" w:hAnsi="Calibri" w:cs="Calibri"/>
        </w:rPr>
        <w:t xml:space="preserve"> kicked off the year with</w:t>
      </w:r>
      <w:r w:rsidR="00CB31EE">
        <w:rPr>
          <w:rFonts w:ascii="Calibri" w:hAnsi="Calibri" w:cs="Calibri"/>
        </w:rPr>
        <w:t xml:space="preserve"> sales r</w:t>
      </w:r>
      <w:r w:rsidR="0080708A">
        <w:rPr>
          <w:rFonts w:ascii="Calibri" w:hAnsi="Calibri" w:cs="Calibri"/>
        </w:rPr>
        <w:t>ising</w:t>
      </w:r>
      <w:r w:rsidR="00CB31EE">
        <w:rPr>
          <w:rFonts w:ascii="Calibri" w:hAnsi="Calibri" w:cs="Calibri"/>
        </w:rPr>
        <w:t xml:space="preserve"> by 10% YoY</w:t>
      </w:r>
      <w:r w:rsidR="00BF7ADC">
        <w:rPr>
          <w:rFonts w:ascii="Calibri" w:hAnsi="Calibri" w:cs="Calibri"/>
        </w:rPr>
        <w:t xml:space="preserve"> </w:t>
      </w:r>
      <w:r w:rsidR="007C17B3">
        <w:rPr>
          <w:rFonts w:ascii="Calibri" w:hAnsi="Calibri" w:cs="Calibri"/>
        </w:rPr>
        <w:t xml:space="preserve">to </w:t>
      </w:r>
      <w:proofErr w:type="spellStart"/>
      <w:r w:rsidR="007C17B3">
        <w:rPr>
          <w:rFonts w:ascii="Calibri" w:hAnsi="Calibri" w:cs="Calibri"/>
        </w:rPr>
        <w:t>Php</w:t>
      </w:r>
      <w:proofErr w:type="spellEnd"/>
      <w:r w:rsidR="007C17B3">
        <w:rPr>
          <w:rFonts w:ascii="Calibri" w:hAnsi="Calibri" w:cs="Calibri"/>
        </w:rPr>
        <w:t xml:space="preserve"> 19.9 billion </w:t>
      </w:r>
      <w:r w:rsidR="00BF7ADC">
        <w:rPr>
          <w:rFonts w:ascii="Calibri" w:hAnsi="Calibri" w:cs="Calibri"/>
        </w:rPr>
        <w:t>on the back of an accelerating</w:t>
      </w:r>
      <w:r w:rsidR="00AB4359">
        <w:rPr>
          <w:rFonts w:ascii="Calibri" w:hAnsi="Calibri" w:cs="Calibri"/>
        </w:rPr>
        <w:t xml:space="preserve"> Branded </w:t>
      </w:r>
      <w:r w:rsidR="00D967B9">
        <w:rPr>
          <w:rFonts w:ascii="Calibri" w:hAnsi="Calibri" w:cs="Calibri"/>
        </w:rPr>
        <w:t>business</w:t>
      </w:r>
      <w:r w:rsidR="00AB4359">
        <w:rPr>
          <w:rFonts w:ascii="Calibri" w:hAnsi="Calibri" w:cs="Calibri"/>
        </w:rPr>
        <w:t xml:space="preserve">. </w:t>
      </w:r>
      <w:r w:rsidR="00512C5C">
        <w:rPr>
          <w:rFonts w:ascii="Calibri" w:hAnsi="Calibri" w:cs="Calibri"/>
        </w:rPr>
        <w:t>Net Income</w:t>
      </w:r>
      <w:r w:rsidR="00200570">
        <w:rPr>
          <w:rFonts w:ascii="Calibri" w:hAnsi="Calibri" w:cs="Calibri"/>
        </w:rPr>
        <w:t xml:space="preserve"> for the three-month period</w:t>
      </w:r>
      <w:r w:rsidR="00512C5C">
        <w:rPr>
          <w:rFonts w:ascii="Calibri" w:hAnsi="Calibri" w:cs="Calibri"/>
        </w:rPr>
        <w:t xml:space="preserve"> likewise</w:t>
      </w:r>
      <w:r w:rsidR="00200570">
        <w:rPr>
          <w:rFonts w:ascii="Calibri" w:hAnsi="Calibri" w:cs="Calibri"/>
        </w:rPr>
        <w:t xml:space="preserve"> </w:t>
      </w:r>
      <w:r w:rsidR="00BB31A6">
        <w:rPr>
          <w:rFonts w:ascii="Calibri" w:hAnsi="Calibri" w:cs="Calibri"/>
        </w:rPr>
        <w:t>grew by 11%</w:t>
      </w:r>
      <w:r w:rsidR="00B5347E">
        <w:rPr>
          <w:rFonts w:ascii="Calibri" w:hAnsi="Calibri" w:cs="Calibri"/>
        </w:rPr>
        <w:t xml:space="preserve"> versus the same period last year.</w:t>
      </w:r>
    </w:p>
    <w:p w14:paraId="5CAC74BF" w14:textId="77777777" w:rsidR="004A0625" w:rsidRDefault="004A0625" w:rsidP="004A0625">
      <w:pPr>
        <w:spacing w:after="0"/>
        <w:jc w:val="both"/>
        <w:rPr>
          <w:rFonts w:ascii="Calibri" w:hAnsi="Calibri" w:cs="Calibri"/>
        </w:rPr>
      </w:pPr>
    </w:p>
    <w:p w14:paraId="5C61F758" w14:textId="30BBEA0F" w:rsidR="00223E3A" w:rsidRDefault="007C17B3" w:rsidP="004A062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Branded segment</w:t>
      </w:r>
      <w:r w:rsidR="00D967B9">
        <w:rPr>
          <w:rFonts w:ascii="Calibri" w:hAnsi="Calibri" w:cs="Calibri"/>
        </w:rPr>
        <w:t xml:space="preserve">, </w:t>
      </w:r>
      <w:r w:rsidR="00044F18">
        <w:rPr>
          <w:rFonts w:ascii="Calibri" w:hAnsi="Calibri" w:cs="Calibri"/>
        </w:rPr>
        <w:t>which comprise</w:t>
      </w:r>
      <w:r w:rsidR="00D31E4F">
        <w:rPr>
          <w:rFonts w:ascii="Calibri" w:hAnsi="Calibri" w:cs="Calibri"/>
        </w:rPr>
        <w:t>d</w:t>
      </w:r>
      <w:r w:rsidR="00044F18">
        <w:rPr>
          <w:rFonts w:ascii="Calibri" w:hAnsi="Calibri" w:cs="Calibri"/>
        </w:rPr>
        <w:t xml:space="preserve"> the bulk of CNPF sales,</w:t>
      </w:r>
      <w:r>
        <w:rPr>
          <w:rFonts w:ascii="Calibri" w:hAnsi="Calibri" w:cs="Calibri"/>
        </w:rPr>
        <w:t xml:space="preserve"> </w:t>
      </w:r>
      <w:r w:rsidR="00E032B2">
        <w:rPr>
          <w:rFonts w:ascii="Calibri" w:hAnsi="Calibri" w:cs="Calibri"/>
        </w:rPr>
        <w:t xml:space="preserve">outperformed during the </w:t>
      </w:r>
      <w:r w:rsidR="00CC35B3">
        <w:rPr>
          <w:rFonts w:ascii="Calibri" w:hAnsi="Calibri" w:cs="Calibri"/>
        </w:rPr>
        <w:t>quarter</w:t>
      </w:r>
      <w:r>
        <w:rPr>
          <w:rFonts w:ascii="Calibri" w:hAnsi="Calibri" w:cs="Calibri"/>
        </w:rPr>
        <w:t>,</w:t>
      </w:r>
      <w:r w:rsidR="00D31E4F">
        <w:rPr>
          <w:rFonts w:ascii="Calibri" w:hAnsi="Calibri" w:cs="Calibri"/>
        </w:rPr>
        <w:t xml:space="preserve"> clocking in a 13% increase</w:t>
      </w:r>
      <w:r w:rsidR="00CC35B3">
        <w:rPr>
          <w:rFonts w:ascii="Calibri" w:hAnsi="Calibri" w:cs="Calibri"/>
        </w:rPr>
        <w:t xml:space="preserve"> YoY and </w:t>
      </w:r>
      <w:r w:rsidR="00043469">
        <w:rPr>
          <w:rFonts w:ascii="Calibri" w:hAnsi="Calibri" w:cs="Calibri"/>
        </w:rPr>
        <w:t xml:space="preserve">a </w:t>
      </w:r>
      <w:r w:rsidR="00CC35B3">
        <w:rPr>
          <w:rFonts w:ascii="Calibri" w:hAnsi="Calibri" w:cs="Calibri"/>
        </w:rPr>
        <w:t>7% s</w:t>
      </w:r>
      <w:r w:rsidR="00861CA6">
        <w:rPr>
          <w:rFonts w:ascii="Calibri" w:hAnsi="Calibri" w:cs="Calibri"/>
        </w:rPr>
        <w:t xml:space="preserve">equential improvement. </w:t>
      </w:r>
      <w:r w:rsidR="00043469">
        <w:rPr>
          <w:rFonts w:ascii="Calibri" w:hAnsi="Calibri" w:cs="Calibri"/>
        </w:rPr>
        <w:t>Key subcategories –</w:t>
      </w:r>
      <w:r w:rsidR="00F32A39">
        <w:rPr>
          <w:rFonts w:ascii="Calibri" w:hAnsi="Calibri" w:cs="Calibri"/>
        </w:rPr>
        <w:t xml:space="preserve"> Marine, Meat, and Milk </w:t>
      </w:r>
      <w:r w:rsidR="00043469">
        <w:rPr>
          <w:rFonts w:ascii="Calibri" w:hAnsi="Calibri" w:cs="Calibri"/>
        </w:rPr>
        <w:t>&amp;</w:t>
      </w:r>
      <w:r w:rsidR="00F32A39">
        <w:rPr>
          <w:rFonts w:ascii="Calibri" w:hAnsi="Calibri" w:cs="Calibri"/>
        </w:rPr>
        <w:t xml:space="preserve"> </w:t>
      </w:r>
      <w:r w:rsidR="00043469">
        <w:rPr>
          <w:rFonts w:ascii="Calibri" w:hAnsi="Calibri" w:cs="Calibri"/>
        </w:rPr>
        <w:t>O</w:t>
      </w:r>
      <w:r w:rsidR="00F32A39">
        <w:rPr>
          <w:rFonts w:ascii="Calibri" w:hAnsi="Calibri" w:cs="Calibri"/>
        </w:rPr>
        <w:t xml:space="preserve">ther </w:t>
      </w:r>
      <w:r w:rsidR="00043469">
        <w:rPr>
          <w:rFonts w:ascii="Calibri" w:hAnsi="Calibri" w:cs="Calibri"/>
        </w:rPr>
        <w:t>E</w:t>
      </w:r>
      <w:r w:rsidR="00F32A39">
        <w:rPr>
          <w:rFonts w:ascii="Calibri" w:hAnsi="Calibri" w:cs="Calibri"/>
        </w:rPr>
        <w:t xml:space="preserve">merging </w:t>
      </w:r>
      <w:r w:rsidR="00043469">
        <w:rPr>
          <w:rFonts w:ascii="Calibri" w:hAnsi="Calibri" w:cs="Calibri"/>
        </w:rPr>
        <w:t>s</w:t>
      </w:r>
      <w:r w:rsidR="00F32A39">
        <w:rPr>
          <w:rFonts w:ascii="Calibri" w:hAnsi="Calibri" w:cs="Calibri"/>
        </w:rPr>
        <w:t>egments</w:t>
      </w:r>
      <w:r w:rsidR="00D31E4F">
        <w:rPr>
          <w:rFonts w:ascii="Calibri" w:hAnsi="Calibri" w:cs="Calibri"/>
        </w:rPr>
        <w:t xml:space="preserve"> </w:t>
      </w:r>
      <w:r w:rsidR="00F32A39">
        <w:rPr>
          <w:rFonts w:ascii="Calibri" w:hAnsi="Calibri" w:cs="Calibri"/>
        </w:rPr>
        <w:t xml:space="preserve">– </w:t>
      </w:r>
      <w:r w:rsidR="00330A21">
        <w:rPr>
          <w:rFonts w:ascii="Calibri" w:hAnsi="Calibri" w:cs="Calibri"/>
        </w:rPr>
        <w:t>reported</w:t>
      </w:r>
      <w:r w:rsidR="00521A0D">
        <w:rPr>
          <w:rFonts w:ascii="Calibri" w:hAnsi="Calibri" w:cs="Calibri"/>
        </w:rPr>
        <w:t xml:space="preserve"> </w:t>
      </w:r>
      <w:r w:rsidR="00276365">
        <w:rPr>
          <w:rFonts w:ascii="Calibri" w:hAnsi="Calibri" w:cs="Calibri"/>
        </w:rPr>
        <w:t>growth</w:t>
      </w:r>
      <w:r w:rsidR="00F32A39">
        <w:rPr>
          <w:rFonts w:ascii="Calibri" w:hAnsi="Calibri" w:cs="Calibri"/>
        </w:rPr>
        <w:t xml:space="preserve"> </w:t>
      </w:r>
      <w:r w:rsidR="00521A0D">
        <w:rPr>
          <w:rFonts w:ascii="Calibri" w:hAnsi="Calibri" w:cs="Calibri"/>
        </w:rPr>
        <w:t>from the comparable period last year</w:t>
      </w:r>
      <w:r w:rsidR="00342E4F">
        <w:rPr>
          <w:rFonts w:ascii="Calibri" w:hAnsi="Calibri" w:cs="Calibri"/>
        </w:rPr>
        <w:t>, supported by an improving consumer landscape amidst easing inflation.</w:t>
      </w:r>
    </w:p>
    <w:p w14:paraId="4327603B" w14:textId="77777777" w:rsidR="004A0625" w:rsidRDefault="004A0625" w:rsidP="004A0625">
      <w:pPr>
        <w:spacing w:after="0"/>
        <w:jc w:val="both"/>
        <w:rPr>
          <w:rFonts w:ascii="Calibri" w:hAnsi="Calibri" w:cs="Calibri"/>
        </w:rPr>
      </w:pPr>
    </w:p>
    <w:p w14:paraId="2DE7DD4E" w14:textId="5F07A3E5" w:rsidR="00521A0D" w:rsidRDefault="00521A0D" w:rsidP="004A062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Meanwhile, CNPF’s </w:t>
      </w:r>
      <w:r w:rsidR="009D6930">
        <w:rPr>
          <w:rFonts w:ascii="Calibri" w:hAnsi="Calibri" w:cs="Calibri"/>
        </w:rPr>
        <w:t>OEM</w:t>
      </w:r>
      <w:r w:rsidR="00747811">
        <w:rPr>
          <w:rFonts w:ascii="Calibri" w:hAnsi="Calibri" w:cs="Calibri"/>
        </w:rPr>
        <w:t xml:space="preserve"> Tuna and Coconut</w:t>
      </w:r>
      <w:r w:rsidR="009D6930">
        <w:rPr>
          <w:rFonts w:ascii="Calibri" w:hAnsi="Calibri" w:cs="Calibri"/>
        </w:rPr>
        <w:t xml:space="preserve"> Exports segmen</w:t>
      </w:r>
      <w:r w:rsidR="00292B9F">
        <w:rPr>
          <w:rFonts w:ascii="Calibri" w:hAnsi="Calibri" w:cs="Calibri"/>
        </w:rPr>
        <w:t xml:space="preserve">t </w:t>
      </w:r>
      <w:r w:rsidR="00D83E1E">
        <w:rPr>
          <w:rFonts w:ascii="Calibri" w:hAnsi="Calibri" w:cs="Calibri"/>
        </w:rPr>
        <w:t xml:space="preserve">experienced a </w:t>
      </w:r>
      <w:r w:rsidR="00917DD7">
        <w:rPr>
          <w:rFonts w:ascii="Calibri" w:hAnsi="Calibri" w:cs="Calibri"/>
        </w:rPr>
        <w:t>slight</w:t>
      </w:r>
      <w:r w:rsidR="00D83E1E">
        <w:rPr>
          <w:rFonts w:ascii="Calibri" w:hAnsi="Calibri" w:cs="Calibri"/>
        </w:rPr>
        <w:t xml:space="preserve"> pullback </w:t>
      </w:r>
      <w:r w:rsidR="00917DD7">
        <w:rPr>
          <w:rFonts w:ascii="Calibri" w:hAnsi="Calibri" w:cs="Calibri"/>
        </w:rPr>
        <w:t xml:space="preserve">in this reporting </w:t>
      </w:r>
      <w:r w:rsidR="00342E4F">
        <w:rPr>
          <w:rFonts w:ascii="Calibri" w:hAnsi="Calibri" w:cs="Calibri"/>
        </w:rPr>
        <w:t>period,</w:t>
      </w:r>
      <w:r w:rsidR="00040A02">
        <w:rPr>
          <w:rFonts w:ascii="Calibri" w:hAnsi="Calibri" w:cs="Calibri"/>
        </w:rPr>
        <w:t xml:space="preserve"> lapping a high 2024 base and </w:t>
      </w:r>
      <w:r w:rsidR="008E00E6">
        <w:rPr>
          <w:rFonts w:ascii="Calibri" w:hAnsi="Calibri" w:cs="Calibri"/>
        </w:rPr>
        <w:t>facing</w:t>
      </w:r>
      <w:r w:rsidR="00040A02">
        <w:rPr>
          <w:rFonts w:ascii="Calibri" w:hAnsi="Calibri" w:cs="Calibri"/>
        </w:rPr>
        <w:t xml:space="preserve"> an unfavorable commodity cycle</w:t>
      </w:r>
      <w:r w:rsidR="003F2A0F">
        <w:rPr>
          <w:rFonts w:ascii="Calibri" w:hAnsi="Calibri" w:cs="Calibri"/>
        </w:rPr>
        <w:t xml:space="preserve">. </w:t>
      </w:r>
      <w:r w:rsidR="00040A02">
        <w:rPr>
          <w:rFonts w:ascii="Calibri" w:hAnsi="Calibri" w:cs="Calibri"/>
        </w:rPr>
        <w:t>The segment</w:t>
      </w:r>
      <w:r w:rsidR="009D69FB">
        <w:rPr>
          <w:rFonts w:ascii="Calibri" w:hAnsi="Calibri" w:cs="Calibri"/>
        </w:rPr>
        <w:t xml:space="preserve"> softened by 2%</w:t>
      </w:r>
      <w:r w:rsidR="00040A02">
        <w:rPr>
          <w:rFonts w:ascii="Calibri" w:hAnsi="Calibri" w:cs="Calibri"/>
        </w:rPr>
        <w:t xml:space="preserve"> YoY</w:t>
      </w:r>
      <w:r w:rsidR="008E00E6">
        <w:rPr>
          <w:rFonts w:ascii="Calibri" w:hAnsi="Calibri" w:cs="Calibri"/>
        </w:rPr>
        <w:t xml:space="preserve">, while </w:t>
      </w:r>
      <w:r w:rsidR="00330A21">
        <w:rPr>
          <w:rFonts w:ascii="Calibri" w:hAnsi="Calibri" w:cs="Calibri"/>
        </w:rPr>
        <w:t>registering</w:t>
      </w:r>
      <w:r w:rsidR="00BB1641">
        <w:rPr>
          <w:rFonts w:ascii="Calibri" w:hAnsi="Calibri" w:cs="Calibri"/>
        </w:rPr>
        <w:t xml:space="preserve"> a sequential improvement of 10% QoQ.</w:t>
      </w:r>
    </w:p>
    <w:p w14:paraId="187E7FC8" w14:textId="77777777" w:rsidR="004A0625" w:rsidRDefault="004A0625" w:rsidP="004A0625">
      <w:pPr>
        <w:spacing w:after="0"/>
        <w:jc w:val="both"/>
        <w:rPr>
          <w:rFonts w:ascii="Calibri" w:hAnsi="Calibri" w:cs="Calibri"/>
        </w:rPr>
      </w:pPr>
    </w:p>
    <w:p w14:paraId="33A52886" w14:textId="6298EE76" w:rsidR="00BF7ADC" w:rsidRDefault="00BF7ADC" w:rsidP="004A062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Chad Manapat, CNPF Chief Finance Officer, shared, “</w:t>
      </w:r>
      <w:r w:rsidR="007C370C">
        <w:rPr>
          <w:rFonts w:ascii="Calibri" w:hAnsi="Calibri" w:cs="Calibri"/>
        </w:rPr>
        <w:t>We are pleased to report that we’re off to a good start</w:t>
      </w:r>
      <w:r w:rsidR="00746A86">
        <w:rPr>
          <w:rFonts w:ascii="Calibri" w:hAnsi="Calibri" w:cs="Calibri"/>
        </w:rPr>
        <w:t xml:space="preserve"> </w:t>
      </w:r>
      <w:r w:rsidR="0009377A">
        <w:rPr>
          <w:rFonts w:ascii="Calibri" w:hAnsi="Calibri" w:cs="Calibri"/>
        </w:rPr>
        <w:t xml:space="preserve">and </w:t>
      </w:r>
      <w:r w:rsidR="00746A86">
        <w:rPr>
          <w:rFonts w:ascii="Calibri" w:hAnsi="Calibri" w:cs="Calibri"/>
        </w:rPr>
        <w:t>are on track</w:t>
      </w:r>
      <w:r w:rsidR="00764B9E">
        <w:rPr>
          <w:rFonts w:ascii="Calibri" w:hAnsi="Calibri" w:cs="Calibri"/>
        </w:rPr>
        <w:t xml:space="preserve"> </w:t>
      </w:r>
      <w:r w:rsidR="00EC7F59">
        <w:rPr>
          <w:rFonts w:ascii="Calibri" w:hAnsi="Calibri" w:cs="Calibri"/>
        </w:rPr>
        <w:t>thus far</w:t>
      </w:r>
      <w:r w:rsidR="00746A86">
        <w:rPr>
          <w:rFonts w:ascii="Calibri" w:hAnsi="Calibri" w:cs="Calibri"/>
        </w:rPr>
        <w:t xml:space="preserve">. </w:t>
      </w:r>
      <w:r w:rsidR="00FC1719">
        <w:rPr>
          <w:rFonts w:ascii="Calibri" w:hAnsi="Calibri" w:cs="Calibri"/>
        </w:rPr>
        <w:t xml:space="preserve">Our </w:t>
      </w:r>
      <w:r w:rsidR="00866F82">
        <w:rPr>
          <w:rFonts w:ascii="Calibri" w:hAnsi="Calibri" w:cs="Calibri"/>
        </w:rPr>
        <w:t xml:space="preserve">multi-cycle </w:t>
      </w:r>
      <w:r w:rsidR="00FC1719">
        <w:rPr>
          <w:rFonts w:ascii="Calibri" w:hAnsi="Calibri" w:cs="Calibri"/>
        </w:rPr>
        <w:t>business model continues to work in our favor – this time with Branded leading the way</w:t>
      </w:r>
      <w:r w:rsidR="00B97FF9">
        <w:rPr>
          <w:rFonts w:ascii="Calibri" w:hAnsi="Calibri" w:cs="Calibri"/>
        </w:rPr>
        <w:t xml:space="preserve">, </w:t>
      </w:r>
      <w:r w:rsidR="00FC1719">
        <w:rPr>
          <w:rFonts w:ascii="Calibri" w:hAnsi="Calibri" w:cs="Calibri"/>
        </w:rPr>
        <w:t xml:space="preserve">more than offsetting </w:t>
      </w:r>
      <w:r w:rsidR="00E555F1">
        <w:rPr>
          <w:rFonts w:ascii="Calibri" w:hAnsi="Calibri" w:cs="Calibri"/>
        </w:rPr>
        <w:t xml:space="preserve">the softness in OEM Exports. We are relieved to see a </w:t>
      </w:r>
      <w:r w:rsidR="00B97FF9">
        <w:rPr>
          <w:rFonts w:ascii="Calibri" w:hAnsi="Calibri" w:cs="Calibri"/>
        </w:rPr>
        <w:t>healthier</w:t>
      </w:r>
      <w:r w:rsidR="00E555F1">
        <w:rPr>
          <w:rFonts w:ascii="Calibri" w:hAnsi="Calibri" w:cs="Calibri"/>
        </w:rPr>
        <w:t xml:space="preserve"> consumer environment</w:t>
      </w:r>
      <w:r w:rsidR="00045AF1">
        <w:rPr>
          <w:rFonts w:ascii="Calibri" w:hAnsi="Calibri" w:cs="Calibri"/>
        </w:rPr>
        <w:t xml:space="preserve"> and hope this good momentum continues throughout the year.”</w:t>
      </w:r>
    </w:p>
    <w:p w14:paraId="643A94C4" w14:textId="77777777" w:rsidR="00825C5F" w:rsidRDefault="00825C5F" w:rsidP="004A0625">
      <w:pPr>
        <w:spacing w:after="0"/>
        <w:jc w:val="both"/>
        <w:rPr>
          <w:rFonts w:ascii="Calibri" w:hAnsi="Calibri" w:cs="Calibri"/>
        </w:rPr>
      </w:pPr>
    </w:p>
    <w:p w14:paraId="31D85E60" w14:textId="6BF7CFBF" w:rsidR="004A0625" w:rsidRDefault="00825C5F" w:rsidP="004A062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sustained impact </w:t>
      </w:r>
      <w:r w:rsidR="008921F1">
        <w:rPr>
          <w:rFonts w:ascii="Calibri" w:hAnsi="Calibri" w:cs="Calibri"/>
        </w:rPr>
        <w:t xml:space="preserve">of </w:t>
      </w:r>
      <w:r>
        <w:rPr>
          <w:rFonts w:ascii="Calibri" w:hAnsi="Calibri" w:cs="Calibri"/>
        </w:rPr>
        <w:t>brand-building efforts from the previous year</w:t>
      </w:r>
      <w:r w:rsidR="00E03506">
        <w:rPr>
          <w:rFonts w:ascii="Calibri" w:hAnsi="Calibri" w:cs="Calibri"/>
        </w:rPr>
        <w:t xml:space="preserve">, </w:t>
      </w:r>
      <w:r w:rsidR="008921F1">
        <w:rPr>
          <w:rFonts w:ascii="Calibri" w:hAnsi="Calibri" w:cs="Calibri"/>
        </w:rPr>
        <w:t>new campaigns</w:t>
      </w:r>
      <w:r w:rsidR="00E03506">
        <w:rPr>
          <w:rFonts w:ascii="Calibri" w:hAnsi="Calibri" w:cs="Calibri"/>
        </w:rPr>
        <w:t>, innovations</w:t>
      </w:r>
      <w:r w:rsidR="00C84C31">
        <w:rPr>
          <w:rFonts w:ascii="Calibri" w:hAnsi="Calibri" w:cs="Calibri"/>
        </w:rPr>
        <w:t>, and expanded capacity</w:t>
      </w:r>
      <w:r w:rsidR="008921F1">
        <w:rPr>
          <w:rFonts w:ascii="Calibri" w:hAnsi="Calibri" w:cs="Calibri"/>
        </w:rPr>
        <w:t xml:space="preserve"> are </w:t>
      </w:r>
      <w:r w:rsidR="00FA72D8">
        <w:rPr>
          <w:rFonts w:ascii="Calibri" w:hAnsi="Calibri" w:cs="Calibri"/>
        </w:rPr>
        <w:t>also</w:t>
      </w:r>
      <w:r w:rsidR="008921F1">
        <w:rPr>
          <w:rFonts w:ascii="Calibri" w:hAnsi="Calibri" w:cs="Calibri"/>
        </w:rPr>
        <w:t xml:space="preserve"> contributing to CNPF’s performance.</w:t>
      </w:r>
      <w:r w:rsidR="00372ED7">
        <w:rPr>
          <w:rFonts w:ascii="Calibri" w:hAnsi="Calibri" w:cs="Calibri"/>
        </w:rPr>
        <w:t xml:space="preserve"> </w:t>
      </w:r>
      <w:r w:rsidR="00541A67">
        <w:rPr>
          <w:rFonts w:ascii="Calibri" w:hAnsi="Calibri" w:cs="Calibri"/>
        </w:rPr>
        <w:t xml:space="preserve">Among these </w:t>
      </w:r>
      <w:r w:rsidR="00F2044C">
        <w:rPr>
          <w:rFonts w:ascii="Calibri" w:hAnsi="Calibri" w:cs="Calibri"/>
        </w:rPr>
        <w:t>is</w:t>
      </w:r>
      <w:r w:rsidR="00541A67">
        <w:rPr>
          <w:rFonts w:ascii="Calibri" w:hAnsi="Calibri" w:cs="Calibri"/>
        </w:rPr>
        <w:t xml:space="preserve"> </w:t>
      </w:r>
      <w:r w:rsidR="009B4BA7">
        <w:rPr>
          <w:rFonts w:ascii="Calibri" w:hAnsi="Calibri" w:cs="Calibri"/>
        </w:rPr>
        <w:t>Century Tuna’s latest campaign</w:t>
      </w:r>
      <w:r w:rsidR="00A953D8">
        <w:rPr>
          <w:rFonts w:ascii="Calibri" w:hAnsi="Calibri" w:cs="Calibri"/>
        </w:rPr>
        <w:t xml:space="preserve"> </w:t>
      </w:r>
      <w:r w:rsidR="009B4BA7">
        <w:rPr>
          <w:rFonts w:ascii="Calibri" w:hAnsi="Calibri" w:cs="Calibri"/>
        </w:rPr>
        <w:t>featuring renowned Korean actor, Park Seo Joon</w:t>
      </w:r>
      <w:r w:rsidR="00A953D8">
        <w:rPr>
          <w:rFonts w:ascii="Calibri" w:hAnsi="Calibri" w:cs="Calibri"/>
        </w:rPr>
        <w:t xml:space="preserve">, marking the brand’s first international endorser. </w:t>
      </w:r>
    </w:p>
    <w:p w14:paraId="2CE6A978" w14:textId="77777777" w:rsidR="00F2044C" w:rsidRDefault="00F2044C" w:rsidP="004A0625">
      <w:pPr>
        <w:spacing w:after="0"/>
        <w:jc w:val="both"/>
        <w:rPr>
          <w:rFonts w:ascii="Calibri" w:hAnsi="Calibri" w:cs="Calibri"/>
        </w:rPr>
      </w:pPr>
    </w:p>
    <w:p w14:paraId="52AB9306" w14:textId="70697B94" w:rsidR="00A83CF9" w:rsidRDefault="00415010" w:rsidP="004A062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For the period</w:t>
      </w:r>
      <w:r w:rsidR="002C40B0">
        <w:rPr>
          <w:rFonts w:ascii="Calibri" w:hAnsi="Calibri" w:cs="Calibri"/>
        </w:rPr>
        <w:t xml:space="preserve">, the company reported </w:t>
      </w:r>
      <w:r w:rsidR="00E20F74">
        <w:rPr>
          <w:rFonts w:ascii="Calibri" w:hAnsi="Calibri" w:cs="Calibri"/>
        </w:rPr>
        <w:t xml:space="preserve">a </w:t>
      </w:r>
      <w:r w:rsidR="00D56998">
        <w:rPr>
          <w:rFonts w:ascii="Calibri" w:hAnsi="Calibri" w:cs="Calibri"/>
        </w:rPr>
        <w:t xml:space="preserve">stable gross margin at 26.2%, </w:t>
      </w:r>
      <w:r w:rsidR="00513A21">
        <w:rPr>
          <w:rFonts w:ascii="Calibri" w:hAnsi="Calibri" w:cs="Calibri"/>
        </w:rPr>
        <w:t>reflecting</w:t>
      </w:r>
      <w:r w:rsidR="0057484E">
        <w:rPr>
          <w:rFonts w:ascii="Calibri" w:hAnsi="Calibri" w:cs="Calibri"/>
        </w:rPr>
        <w:t xml:space="preserve"> a </w:t>
      </w:r>
      <w:r w:rsidR="00534164">
        <w:rPr>
          <w:rFonts w:ascii="Calibri" w:hAnsi="Calibri" w:cs="Calibri"/>
        </w:rPr>
        <w:t>mild</w:t>
      </w:r>
      <w:r w:rsidR="00A83CF9">
        <w:rPr>
          <w:rFonts w:ascii="Calibri" w:hAnsi="Calibri" w:cs="Calibri"/>
        </w:rPr>
        <w:t xml:space="preserve"> 10-basis point</w:t>
      </w:r>
      <w:r w:rsidR="002C40B0">
        <w:rPr>
          <w:rFonts w:ascii="Calibri" w:hAnsi="Calibri" w:cs="Calibri"/>
        </w:rPr>
        <w:t xml:space="preserve"> </w:t>
      </w:r>
      <w:r w:rsidR="00534164">
        <w:rPr>
          <w:rFonts w:ascii="Calibri" w:hAnsi="Calibri" w:cs="Calibri"/>
        </w:rPr>
        <w:t>uptick</w:t>
      </w:r>
      <w:r w:rsidR="002C40B0">
        <w:rPr>
          <w:rFonts w:ascii="Calibri" w:hAnsi="Calibri" w:cs="Calibri"/>
        </w:rPr>
        <w:t xml:space="preserve"> </w:t>
      </w:r>
      <w:r w:rsidR="00A83CF9">
        <w:rPr>
          <w:rFonts w:ascii="Calibri" w:hAnsi="Calibri" w:cs="Calibri"/>
        </w:rPr>
        <w:t>from the comparative period</w:t>
      </w:r>
      <w:r w:rsidR="005E509F">
        <w:rPr>
          <w:rFonts w:ascii="Calibri" w:hAnsi="Calibri" w:cs="Calibri"/>
        </w:rPr>
        <w:t xml:space="preserve">, supported </w:t>
      </w:r>
      <w:r w:rsidR="0057484E">
        <w:rPr>
          <w:rFonts w:ascii="Calibri" w:hAnsi="Calibri" w:cs="Calibri"/>
        </w:rPr>
        <w:t xml:space="preserve">by </w:t>
      </w:r>
      <w:r w:rsidR="00BB72D4">
        <w:rPr>
          <w:rFonts w:ascii="Calibri" w:hAnsi="Calibri" w:cs="Calibri"/>
        </w:rPr>
        <w:t>carryover inventories from the previous year.</w:t>
      </w:r>
      <w:r w:rsidR="0078018C">
        <w:rPr>
          <w:rFonts w:ascii="Calibri" w:hAnsi="Calibri" w:cs="Calibri"/>
        </w:rPr>
        <w:t xml:space="preserve"> </w:t>
      </w:r>
    </w:p>
    <w:p w14:paraId="3A4C3B63" w14:textId="77777777" w:rsidR="00E03506" w:rsidRDefault="00E03506" w:rsidP="004A0625">
      <w:pPr>
        <w:spacing w:after="0"/>
        <w:jc w:val="both"/>
        <w:rPr>
          <w:rFonts w:ascii="Calibri" w:hAnsi="Calibri" w:cs="Calibri"/>
        </w:rPr>
      </w:pPr>
    </w:p>
    <w:p w14:paraId="6375D16D" w14:textId="02D3A99D" w:rsidR="000A6158" w:rsidRDefault="0078018C" w:rsidP="004A062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Disciplined spending led operating expenses as a percentage of sales to decrease by 70 basis points to </w:t>
      </w:r>
      <w:r w:rsidR="0020419C">
        <w:rPr>
          <w:rFonts w:ascii="Calibri" w:hAnsi="Calibri" w:cs="Calibri"/>
        </w:rPr>
        <w:t xml:space="preserve">14.5%, mitigating the unfavorable impact of forex movements </w:t>
      </w:r>
      <w:r w:rsidR="00111856">
        <w:rPr>
          <w:rFonts w:ascii="Calibri" w:hAnsi="Calibri" w:cs="Calibri"/>
        </w:rPr>
        <w:t>o</w:t>
      </w:r>
      <w:r w:rsidR="0020419C">
        <w:rPr>
          <w:rFonts w:ascii="Calibri" w:hAnsi="Calibri" w:cs="Calibri"/>
        </w:rPr>
        <w:t xml:space="preserve">n other income. As a result, </w:t>
      </w:r>
      <w:r w:rsidR="00AB382C">
        <w:rPr>
          <w:rFonts w:ascii="Calibri" w:hAnsi="Calibri" w:cs="Calibri"/>
        </w:rPr>
        <w:t>earnings before income, taxes, depreciation and amortization (EBITDA) margin was largely sustained at 14.0%</w:t>
      </w:r>
      <w:r w:rsidR="00AD2A2E">
        <w:rPr>
          <w:rFonts w:ascii="Calibri" w:hAnsi="Calibri" w:cs="Calibri"/>
        </w:rPr>
        <w:t>, while n</w:t>
      </w:r>
      <w:r w:rsidR="000A6158">
        <w:rPr>
          <w:rFonts w:ascii="Calibri" w:hAnsi="Calibri" w:cs="Calibri"/>
        </w:rPr>
        <w:t xml:space="preserve">et </w:t>
      </w:r>
      <w:r w:rsidR="00AD2A2E">
        <w:rPr>
          <w:rFonts w:ascii="Calibri" w:hAnsi="Calibri" w:cs="Calibri"/>
        </w:rPr>
        <w:t xml:space="preserve">profit </w:t>
      </w:r>
      <w:r w:rsidR="000A6158">
        <w:rPr>
          <w:rFonts w:ascii="Calibri" w:hAnsi="Calibri" w:cs="Calibri"/>
        </w:rPr>
        <w:t>margin remained stable at 9.6%</w:t>
      </w:r>
      <w:r w:rsidR="00AF66EF">
        <w:rPr>
          <w:rFonts w:ascii="Calibri" w:hAnsi="Calibri" w:cs="Calibri"/>
        </w:rPr>
        <w:t>.</w:t>
      </w:r>
    </w:p>
    <w:p w14:paraId="7F8CB61E" w14:textId="14112E16" w:rsidR="00AF66EF" w:rsidRDefault="00AF66EF" w:rsidP="004A0625">
      <w:pPr>
        <w:spacing w:after="0"/>
        <w:jc w:val="both"/>
        <w:rPr>
          <w:rFonts w:ascii="Calibri" w:hAnsi="Calibri" w:cs="Calibri"/>
        </w:rPr>
      </w:pPr>
    </w:p>
    <w:p w14:paraId="1304C537" w14:textId="63813FDE" w:rsidR="000B1DAF" w:rsidRDefault="00E52835" w:rsidP="004A062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With </w:t>
      </w:r>
      <w:r w:rsidR="00520E28">
        <w:rPr>
          <w:rFonts w:ascii="Calibri" w:hAnsi="Calibri" w:cs="Calibri"/>
        </w:rPr>
        <w:t xml:space="preserve">a </w:t>
      </w:r>
      <w:proofErr w:type="spellStart"/>
      <w:r>
        <w:rPr>
          <w:rFonts w:ascii="Calibri" w:hAnsi="Calibri" w:cs="Calibri"/>
        </w:rPr>
        <w:t>Php</w:t>
      </w:r>
      <w:proofErr w:type="spellEnd"/>
      <w:r>
        <w:rPr>
          <w:rFonts w:ascii="Calibri" w:hAnsi="Calibri" w:cs="Calibri"/>
        </w:rPr>
        <w:t xml:space="preserve"> </w:t>
      </w:r>
      <w:r w:rsidR="00DD0D52">
        <w:rPr>
          <w:rFonts w:ascii="Calibri" w:hAnsi="Calibri" w:cs="Calibri"/>
        </w:rPr>
        <w:t>1.7 billion operating cashflow</w:t>
      </w:r>
      <w:r>
        <w:rPr>
          <w:rFonts w:ascii="Calibri" w:hAnsi="Calibri" w:cs="Calibri"/>
        </w:rPr>
        <w:t xml:space="preserve"> and </w:t>
      </w:r>
      <w:r w:rsidR="00246294">
        <w:rPr>
          <w:rFonts w:ascii="Calibri" w:hAnsi="Calibri" w:cs="Calibri"/>
        </w:rPr>
        <w:t xml:space="preserve">a </w:t>
      </w:r>
      <w:proofErr w:type="spellStart"/>
      <w:r>
        <w:rPr>
          <w:rFonts w:ascii="Calibri" w:hAnsi="Calibri" w:cs="Calibri"/>
        </w:rPr>
        <w:t>Php</w:t>
      </w:r>
      <w:proofErr w:type="spellEnd"/>
      <w:r>
        <w:rPr>
          <w:rFonts w:ascii="Calibri" w:hAnsi="Calibri" w:cs="Calibri"/>
        </w:rPr>
        <w:t xml:space="preserve"> 3.2 billion</w:t>
      </w:r>
      <w:r w:rsidR="00407B32">
        <w:rPr>
          <w:rFonts w:ascii="Calibri" w:hAnsi="Calibri" w:cs="Calibri"/>
        </w:rPr>
        <w:t xml:space="preserve"> starting cash position</w:t>
      </w:r>
      <w:r>
        <w:rPr>
          <w:rFonts w:ascii="Calibri" w:hAnsi="Calibri" w:cs="Calibri"/>
        </w:rPr>
        <w:t xml:space="preserve">, </w:t>
      </w:r>
      <w:r w:rsidR="00241287">
        <w:rPr>
          <w:rFonts w:ascii="Calibri" w:hAnsi="Calibri" w:cs="Calibri"/>
        </w:rPr>
        <w:t xml:space="preserve">the Company </w:t>
      </w:r>
      <w:r w:rsidR="00246294">
        <w:rPr>
          <w:rFonts w:ascii="Calibri" w:hAnsi="Calibri" w:cs="Calibri"/>
        </w:rPr>
        <w:t xml:space="preserve">was able to adequately </w:t>
      </w:r>
      <w:r w:rsidR="00241287">
        <w:rPr>
          <w:rFonts w:ascii="Calibri" w:hAnsi="Calibri" w:cs="Calibri"/>
        </w:rPr>
        <w:t xml:space="preserve">fund </w:t>
      </w:r>
      <w:r>
        <w:rPr>
          <w:rFonts w:ascii="Calibri" w:hAnsi="Calibri" w:cs="Calibri"/>
        </w:rPr>
        <w:t xml:space="preserve">capital expenditures and dividend payments for the period. During the quarter, CNPF declared regular cash dividends amounting to </w:t>
      </w:r>
      <w:proofErr w:type="spellStart"/>
      <w:r>
        <w:rPr>
          <w:rFonts w:ascii="Calibri" w:hAnsi="Calibri" w:cs="Calibri"/>
        </w:rPr>
        <w:t>Php</w:t>
      </w:r>
      <w:proofErr w:type="spellEnd"/>
      <w:r>
        <w:rPr>
          <w:rFonts w:ascii="Calibri" w:hAnsi="Calibri" w:cs="Calibri"/>
        </w:rPr>
        <w:t xml:space="preserve"> 0.55 per share, representing a payout ratio of 30% of </w:t>
      </w:r>
      <w:r w:rsidR="0070050B">
        <w:rPr>
          <w:rFonts w:ascii="Calibri" w:hAnsi="Calibri" w:cs="Calibri"/>
        </w:rPr>
        <w:t>the previous</w:t>
      </w:r>
      <w:r>
        <w:rPr>
          <w:rFonts w:ascii="Calibri" w:hAnsi="Calibri" w:cs="Calibri"/>
        </w:rPr>
        <w:t xml:space="preserve"> year’s net income.</w:t>
      </w:r>
      <w:r w:rsidR="007E13C3">
        <w:rPr>
          <w:rFonts w:ascii="Calibri" w:hAnsi="Calibri" w:cs="Calibri"/>
        </w:rPr>
        <w:t xml:space="preserve"> </w:t>
      </w:r>
      <w:r w:rsidR="00443B0E">
        <w:rPr>
          <w:rFonts w:ascii="Calibri" w:hAnsi="Calibri" w:cs="Calibri"/>
        </w:rPr>
        <w:t>Ending cash balance for the period stood at</w:t>
      </w:r>
      <w:r w:rsidR="007E13C3">
        <w:rPr>
          <w:rFonts w:ascii="Calibri" w:hAnsi="Calibri" w:cs="Calibri"/>
        </w:rPr>
        <w:t xml:space="preserve"> </w:t>
      </w:r>
      <w:proofErr w:type="spellStart"/>
      <w:r w:rsidR="007E13C3">
        <w:rPr>
          <w:rFonts w:ascii="Calibri" w:hAnsi="Calibri" w:cs="Calibri"/>
        </w:rPr>
        <w:t>Php</w:t>
      </w:r>
      <w:proofErr w:type="spellEnd"/>
      <w:r w:rsidR="007E13C3">
        <w:rPr>
          <w:rFonts w:ascii="Calibri" w:hAnsi="Calibri" w:cs="Calibri"/>
        </w:rPr>
        <w:t xml:space="preserve"> </w:t>
      </w:r>
      <w:r w:rsidR="00443B0E">
        <w:rPr>
          <w:rFonts w:ascii="Calibri" w:hAnsi="Calibri" w:cs="Calibri"/>
        </w:rPr>
        <w:t>2.9 billion.</w:t>
      </w:r>
    </w:p>
    <w:p w14:paraId="1A719079" w14:textId="77777777" w:rsidR="005F5760" w:rsidRDefault="005F5760" w:rsidP="004A0625">
      <w:pPr>
        <w:spacing w:after="0"/>
        <w:jc w:val="both"/>
        <w:rPr>
          <w:rFonts w:ascii="Calibri" w:hAnsi="Calibri" w:cs="Calibri"/>
        </w:rPr>
      </w:pPr>
    </w:p>
    <w:p w14:paraId="17936C06" w14:textId="40B5D4AF" w:rsidR="005F5760" w:rsidRDefault="00CA5E7F" w:rsidP="00CA5E7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8F7637" w:rsidRPr="008F7637">
        <w:rPr>
          <w:rFonts w:ascii="Calibri" w:hAnsi="Calibri" w:cs="Calibri"/>
        </w:rPr>
        <w:t>While it’s still early in the year, we aim to continue our growth trajectory in the coming quarters.</w:t>
      </w:r>
      <w:r w:rsidR="008F7637">
        <w:rPr>
          <w:rFonts w:ascii="Calibri" w:hAnsi="Calibri" w:cs="Calibri"/>
        </w:rPr>
        <w:t xml:space="preserve"> </w:t>
      </w:r>
      <w:r w:rsidRPr="00CA5E7F">
        <w:rPr>
          <w:rFonts w:ascii="Calibri" w:hAnsi="Calibri" w:cs="Calibri"/>
        </w:rPr>
        <w:t>We remain cautiously optimistic—mindful of ongoing global market volatility and cost-related headwinds. Our exposure to recent US tariff actions is limited, though we continue to monitor developments closely</w:t>
      </w:r>
      <w:r w:rsidR="008F7637">
        <w:rPr>
          <w:rFonts w:ascii="Calibri" w:hAnsi="Calibri" w:cs="Calibri"/>
        </w:rPr>
        <w:t>,” Manapat said.</w:t>
      </w:r>
      <w:r w:rsidRPr="00CA5E7F">
        <w:rPr>
          <w:rFonts w:ascii="Calibri" w:hAnsi="Calibri" w:cs="Calibri"/>
        </w:rPr>
        <w:t xml:space="preserve"> </w:t>
      </w:r>
      <w:r w:rsidR="008F7637">
        <w:rPr>
          <w:rFonts w:ascii="Calibri" w:hAnsi="Calibri" w:cs="Calibri"/>
        </w:rPr>
        <w:t>“</w:t>
      </w:r>
      <w:r w:rsidRPr="00CA5E7F">
        <w:rPr>
          <w:rFonts w:ascii="Calibri" w:hAnsi="Calibri" w:cs="Calibri"/>
        </w:rPr>
        <w:t xml:space="preserve">We navigate this dynamic environment with a </w:t>
      </w:r>
      <w:r w:rsidR="008F7637">
        <w:rPr>
          <w:rFonts w:ascii="Calibri" w:hAnsi="Calibri" w:cs="Calibri"/>
        </w:rPr>
        <w:t>keen eye</w:t>
      </w:r>
      <w:r w:rsidRPr="00CA5E7F">
        <w:rPr>
          <w:rFonts w:ascii="Calibri" w:hAnsi="Calibri" w:cs="Calibri"/>
        </w:rPr>
        <w:t xml:space="preserve"> on both risks and opportunities, recognizing that agility and responsiveness are key to sustaining our momentum. Against this backdrop, we reaffirm our </w:t>
      </w:r>
      <w:r w:rsidR="00B40444">
        <w:rPr>
          <w:rFonts w:ascii="Calibri" w:hAnsi="Calibri" w:cs="Calibri"/>
        </w:rPr>
        <w:t xml:space="preserve">double-digit </w:t>
      </w:r>
      <w:r w:rsidRPr="00CA5E7F">
        <w:rPr>
          <w:rFonts w:ascii="Calibri" w:hAnsi="Calibri" w:cs="Calibri"/>
        </w:rPr>
        <w:t xml:space="preserve">growth outlook for both revenue and profit—anchored on </w:t>
      </w:r>
      <w:r w:rsidR="00B40444">
        <w:rPr>
          <w:rFonts w:ascii="Calibri" w:hAnsi="Calibri" w:cs="Calibri"/>
        </w:rPr>
        <w:t xml:space="preserve">our mission of </w:t>
      </w:r>
      <w:r w:rsidRPr="00CA5E7F">
        <w:rPr>
          <w:rFonts w:ascii="Calibri" w:hAnsi="Calibri" w:cs="Calibri"/>
        </w:rPr>
        <w:t>delivering accessible, affordable nutrition to the consumers we serv</w:t>
      </w:r>
      <w:r>
        <w:rPr>
          <w:rFonts w:ascii="Calibri" w:hAnsi="Calibri" w:cs="Calibri"/>
        </w:rPr>
        <w:t>e.”</w:t>
      </w:r>
    </w:p>
    <w:sectPr w:rsidR="005F5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82908"/>
    <w:multiLevelType w:val="hybridMultilevel"/>
    <w:tmpl w:val="99F2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16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DE"/>
    <w:rsid w:val="00007B83"/>
    <w:rsid w:val="00026B19"/>
    <w:rsid w:val="00032CE4"/>
    <w:rsid w:val="00037BAD"/>
    <w:rsid w:val="00040A02"/>
    <w:rsid w:val="00043469"/>
    <w:rsid w:val="00044F18"/>
    <w:rsid w:val="00045AF1"/>
    <w:rsid w:val="000535AD"/>
    <w:rsid w:val="00055197"/>
    <w:rsid w:val="000648DE"/>
    <w:rsid w:val="0009377A"/>
    <w:rsid w:val="000A6158"/>
    <w:rsid w:val="000B1DAF"/>
    <w:rsid w:val="000D1B11"/>
    <w:rsid w:val="000E137F"/>
    <w:rsid w:val="00111856"/>
    <w:rsid w:val="001155EB"/>
    <w:rsid w:val="001A460F"/>
    <w:rsid w:val="00200570"/>
    <w:rsid w:val="0020419C"/>
    <w:rsid w:val="002060B5"/>
    <w:rsid w:val="00223E3A"/>
    <w:rsid w:val="00241287"/>
    <w:rsid w:val="00246294"/>
    <w:rsid w:val="0025666E"/>
    <w:rsid w:val="00276365"/>
    <w:rsid w:val="00292B9F"/>
    <w:rsid w:val="002B48F8"/>
    <w:rsid w:val="002C40B0"/>
    <w:rsid w:val="002F4FC9"/>
    <w:rsid w:val="00330A21"/>
    <w:rsid w:val="00342E4F"/>
    <w:rsid w:val="00363C6D"/>
    <w:rsid w:val="00372ED7"/>
    <w:rsid w:val="00377FF6"/>
    <w:rsid w:val="00391AB6"/>
    <w:rsid w:val="00395DCF"/>
    <w:rsid w:val="003A744E"/>
    <w:rsid w:val="003E3207"/>
    <w:rsid w:val="003F2A0F"/>
    <w:rsid w:val="003F6995"/>
    <w:rsid w:val="00407B32"/>
    <w:rsid w:val="00415010"/>
    <w:rsid w:val="00443B0E"/>
    <w:rsid w:val="00443B39"/>
    <w:rsid w:val="004518F7"/>
    <w:rsid w:val="0048001F"/>
    <w:rsid w:val="004A0625"/>
    <w:rsid w:val="004B0026"/>
    <w:rsid w:val="004E5795"/>
    <w:rsid w:val="00503FA0"/>
    <w:rsid w:val="00512C5C"/>
    <w:rsid w:val="00513A21"/>
    <w:rsid w:val="00520E28"/>
    <w:rsid w:val="00521A0D"/>
    <w:rsid w:val="00534164"/>
    <w:rsid w:val="00541A67"/>
    <w:rsid w:val="0056421A"/>
    <w:rsid w:val="0057484E"/>
    <w:rsid w:val="00574FFC"/>
    <w:rsid w:val="0057699B"/>
    <w:rsid w:val="005A3858"/>
    <w:rsid w:val="005B11DF"/>
    <w:rsid w:val="005E509F"/>
    <w:rsid w:val="005F5760"/>
    <w:rsid w:val="005F6125"/>
    <w:rsid w:val="00625C3C"/>
    <w:rsid w:val="00686DA4"/>
    <w:rsid w:val="006B03D4"/>
    <w:rsid w:val="006C076D"/>
    <w:rsid w:val="0070050B"/>
    <w:rsid w:val="00702C71"/>
    <w:rsid w:val="00746A86"/>
    <w:rsid w:val="00747811"/>
    <w:rsid w:val="00762C74"/>
    <w:rsid w:val="00764B9E"/>
    <w:rsid w:val="0078018C"/>
    <w:rsid w:val="00781021"/>
    <w:rsid w:val="007C17B3"/>
    <w:rsid w:val="007C370C"/>
    <w:rsid w:val="007E13C3"/>
    <w:rsid w:val="007F1E9A"/>
    <w:rsid w:val="0080708A"/>
    <w:rsid w:val="00825C5F"/>
    <w:rsid w:val="00826C1D"/>
    <w:rsid w:val="0086115E"/>
    <w:rsid w:val="00861CA6"/>
    <w:rsid w:val="00866F82"/>
    <w:rsid w:val="008921F1"/>
    <w:rsid w:val="008A71B8"/>
    <w:rsid w:val="008E00E6"/>
    <w:rsid w:val="008F7637"/>
    <w:rsid w:val="00917DD7"/>
    <w:rsid w:val="00927B90"/>
    <w:rsid w:val="0093290C"/>
    <w:rsid w:val="00995608"/>
    <w:rsid w:val="009B071D"/>
    <w:rsid w:val="009B4BA7"/>
    <w:rsid w:val="009D2A51"/>
    <w:rsid w:val="009D6930"/>
    <w:rsid w:val="009D69FB"/>
    <w:rsid w:val="00A218DB"/>
    <w:rsid w:val="00A50C60"/>
    <w:rsid w:val="00A55F4C"/>
    <w:rsid w:val="00A83CF9"/>
    <w:rsid w:val="00A953D8"/>
    <w:rsid w:val="00A967AA"/>
    <w:rsid w:val="00AB382C"/>
    <w:rsid w:val="00AB4359"/>
    <w:rsid w:val="00AC3D38"/>
    <w:rsid w:val="00AC46B8"/>
    <w:rsid w:val="00AD2A2E"/>
    <w:rsid w:val="00AE6735"/>
    <w:rsid w:val="00AE6C11"/>
    <w:rsid w:val="00AF66EF"/>
    <w:rsid w:val="00B33B66"/>
    <w:rsid w:val="00B40444"/>
    <w:rsid w:val="00B5347E"/>
    <w:rsid w:val="00B53EFA"/>
    <w:rsid w:val="00B86AFA"/>
    <w:rsid w:val="00B97FF9"/>
    <w:rsid w:val="00BB1641"/>
    <w:rsid w:val="00BB31A6"/>
    <w:rsid w:val="00BB48E7"/>
    <w:rsid w:val="00BB72D4"/>
    <w:rsid w:val="00BD1B28"/>
    <w:rsid w:val="00BD3213"/>
    <w:rsid w:val="00BF7ADC"/>
    <w:rsid w:val="00C702F9"/>
    <w:rsid w:val="00C84A67"/>
    <w:rsid w:val="00C84C31"/>
    <w:rsid w:val="00CA5E7F"/>
    <w:rsid w:val="00CB31EE"/>
    <w:rsid w:val="00CC35B3"/>
    <w:rsid w:val="00CC56CC"/>
    <w:rsid w:val="00D31E4F"/>
    <w:rsid w:val="00D56998"/>
    <w:rsid w:val="00D70445"/>
    <w:rsid w:val="00D83E1E"/>
    <w:rsid w:val="00D967B9"/>
    <w:rsid w:val="00D9704F"/>
    <w:rsid w:val="00DD0D52"/>
    <w:rsid w:val="00E032B2"/>
    <w:rsid w:val="00E03506"/>
    <w:rsid w:val="00E116BB"/>
    <w:rsid w:val="00E17997"/>
    <w:rsid w:val="00E20F74"/>
    <w:rsid w:val="00E51590"/>
    <w:rsid w:val="00E52835"/>
    <w:rsid w:val="00E555F1"/>
    <w:rsid w:val="00EC7F59"/>
    <w:rsid w:val="00ED3078"/>
    <w:rsid w:val="00F00053"/>
    <w:rsid w:val="00F2044C"/>
    <w:rsid w:val="00F32A39"/>
    <w:rsid w:val="00F96F99"/>
    <w:rsid w:val="00FA72D8"/>
    <w:rsid w:val="00FC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3D01D"/>
  <w15:chartTrackingRefBased/>
  <w15:docId w15:val="{F740BD53-A52D-4B67-BC84-38A6102D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44E"/>
  </w:style>
  <w:style w:type="paragraph" w:styleId="Heading1">
    <w:name w:val="heading 1"/>
    <w:basedOn w:val="Normal"/>
    <w:next w:val="Normal"/>
    <w:link w:val="Heading1Char"/>
    <w:uiPriority w:val="9"/>
    <w:qFormat/>
    <w:rsid w:val="00064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8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7F94CC25E62458CEBEC5CB61BD012" ma:contentTypeVersion="16" ma:contentTypeDescription="Create a new document." ma:contentTypeScope="" ma:versionID="6e8b859c37ba93e4ef44276a476828b7">
  <xsd:schema xmlns:xsd="http://www.w3.org/2001/XMLSchema" xmlns:xs="http://www.w3.org/2001/XMLSchema" xmlns:p="http://schemas.microsoft.com/office/2006/metadata/properties" xmlns:ns2="d30156a5-d521-4b0f-a2c1-4eb81cb1e54e" xmlns:ns3="81943131-14f9-481a-9413-6a69bb08175c" targetNamespace="http://schemas.microsoft.com/office/2006/metadata/properties" ma:root="true" ma:fieldsID="96ba30482649a8a3a34109b6c5cdfd6c" ns2:_="" ns3:_="">
    <xsd:import namespace="d30156a5-d521-4b0f-a2c1-4eb81cb1e54e"/>
    <xsd:import namespace="81943131-14f9-481a-9413-6a69bb081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156a5-d521-4b0f-a2c1-4eb81cb1e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df11094-bae5-488a-9b38-75bdea458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43131-14f9-481a-9413-6a69bb081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3776bcb-b905-472d-b1a4-adb693445788}" ma:internalName="TaxCatchAll" ma:showField="CatchAllData" ma:web="81943131-14f9-481a-9413-6a69bb081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0156a5-d521-4b0f-a2c1-4eb81cb1e54e">
      <Terms xmlns="http://schemas.microsoft.com/office/infopath/2007/PartnerControls"/>
    </lcf76f155ced4ddcb4097134ff3c332f>
    <TaxCatchAll xmlns="81943131-14f9-481a-9413-6a69bb08175c" xsi:nil="true"/>
  </documentManagement>
</p:properties>
</file>

<file path=customXml/itemProps1.xml><?xml version="1.0" encoding="utf-8"?>
<ds:datastoreItem xmlns:ds="http://schemas.openxmlformats.org/officeDocument/2006/customXml" ds:itemID="{701023E2-7E48-49DC-99FB-ADFFD0F1D3C2}"/>
</file>

<file path=customXml/itemProps2.xml><?xml version="1.0" encoding="utf-8"?>
<ds:datastoreItem xmlns:ds="http://schemas.openxmlformats.org/officeDocument/2006/customXml" ds:itemID="{72B0EBC3-1D19-407A-BD19-E630628EBDBD}"/>
</file>

<file path=customXml/itemProps3.xml><?xml version="1.0" encoding="utf-8"?>
<ds:datastoreItem xmlns:ds="http://schemas.openxmlformats.org/officeDocument/2006/customXml" ds:itemID="{0630BA2A-AA4C-4FF6-8688-0E15933EC4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Dappy Tecson</dc:creator>
  <cp:keywords/>
  <dc:description/>
  <cp:lastModifiedBy>Dappy Tecson</cp:lastModifiedBy>
  <cp:revision>8</cp:revision>
  <cp:lastPrinted>2025-05-05T08:35:00Z</cp:lastPrinted>
  <dcterms:created xsi:type="dcterms:W3CDTF">2025-05-04T09:08:00Z</dcterms:created>
  <dcterms:modified xsi:type="dcterms:W3CDTF">2025-05-06T01:12:00Z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0x0101002EB7F94CC25E62458CEBEC5CB61BD012</vt:lpwstr>
  </property>
</Properties>
</file>